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1200" w:lineRule="exact"/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5102"/>
        <w:gridCol w:w="4252"/>
      </w:tblGrid>
      <w:tr>
        <w:tc>
          <w:tcPr>
            <w:tcW w:type="dxa" w:w="4677"/>
          </w:tcPr>
          <w:p>
            <w:r/>
          </w:p>
          <w:p>
            <w:pPr>
              <w:spacing w:after="20"/>
            </w:pPr>
            <w:r>
              <w:rPr>
                <w:b w:val="0"/>
                <w:color w:val="9AA4B2"/>
                <w:sz w:val="13"/>
                <w:u w:val="none"/>
              </w:rPr>
              <w:t>MIETER — NAME, STRASSE, PLZ UND ORT</w:t>
            </w:r>
          </w:p>
          <w:p>
            <w:pPr>
              <w:spacing w:after="120"/>
              <w:pBdr>
                <w:bottom w:val="single" w:sz="6" w:space="2" w:color="B9C2CF"/>
              </w:pBdr>
            </w:pPr>
          </w:p>
          <w:p>
            <w:pPr>
              <w:spacing w:after="120"/>
              <w:pBdr>
                <w:bottom w:val="single" w:sz="6" w:space="2" w:color="B9C2CF"/>
              </w:pBdr>
            </w:pPr>
          </w:p>
          <w:p>
            <w:pPr>
              <w:spacing w:after="120"/>
              <w:pBdr>
                <w:bottom w:val="single" w:sz="6" w:space="2" w:color="B9C2CF"/>
              </w:pBdr>
            </w:pPr>
          </w:p>
        </w:tc>
        <w:tc>
          <w:tcPr>
            <w:tcW w:type="dxa" w:w="4677"/>
          </w:tcPr>
          <w:p>
            <w:r/>
          </w:p>
          <w:p>
            <w:pPr>
              <w:spacing w:after="20"/>
            </w:pPr>
            <w:r>
              <w:rPr>
                <w:b w:val="0"/>
                <w:color w:val="9AA4B2"/>
                <w:sz w:val="13"/>
                <w:u w:val="none"/>
              </w:rPr>
              <w:t>VERMIETER — NAME, STRASSE, PLZ UND ORT</w:t>
            </w:r>
          </w:p>
          <w:p>
            <w:pPr>
              <w:spacing w:after="120"/>
              <w:pBdr>
                <w:bottom w:val="single" w:sz="6" w:space="2" w:color="B9C2CF"/>
              </w:pBdr>
            </w:pPr>
          </w:p>
          <w:p>
            <w:pPr>
              <w:spacing w:after="120"/>
              <w:pBdr>
                <w:bottom w:val="single" w:sz="6" w:space="2" w:color="B9C2CF"/>
              </w:pBdr>
            </w:pPr>
          </w:p>
          <w:p>
            <w:pPr>
              <w:spacing w:after="120"/>
              <w:pBdr>
                <w:bottom w:val="single" w:sz="6" w:space="2" w:color="B9C2CF"/>
              </w:pBdr>
            </w:pPr>
          </w:p>
          <w:p>
            <w:pPr>
              <w:spacing w:after="20"/>
            </w:pPr>
            <w:r>
              <w:rPr>
                <w:b w:val="0"/>
                <w:color w:val="9AA4B2"/>
                <w:sz w:val="13"/>
                <w:u w:val="none"/>
              </w:rPr>
              <w:t>ORT, DATUM</w:t>
            </w:r>
          </w:p>
          <w:p>
            <w:pPr>
              <w:spacing w:after="120"/>
              <w:pBdr>
                <w:bottom w:val="single" w:sz="6" w:space="2" w:color="B9C2CF"/>
              </w:pBdr>
            </w:pPr>
          </w:p>
        </w:tc>
      </w:tr>
    </w:tbl>
    <w:p>
      <w:pPr>
        <w:spacing w:before="0" w:after="0" w:line="1200" w:lineRule="exact"/>
      </w:pPr>
    </w:p>
    <w:p>
      <w:pPr>
        <w:spacing w:after="40"/>
      </w:pPr>
      <w:r>
        <w:rPr>
          <w:b/>
          <w:color w:val="1E40AF"/>
          <w:sz w:val="30"/>
          <w:u w:val="none"/>
        </w:rPr>
        <w:t xml:space="preserve">Nebenkostenabrechnung </w:t>
      </w:r>
      <w:r>
        <w:rPr>
          <w:b w:val="0"/>
          <w:sz w:val="30"/>
          <w:u w:val="single"/>
        </w:rPr>
        <w:t xml:space="preserve">            </w:t>
      </w:r>
    </w:p>
    <w:p>
      <w:pPr>
        <w:spacing w:after="240"/>
      </w:pPr>
      <w:r>
        <w:rPr>
          <w:b w:val="0"/>
          <w:color w:val="555555"/>
          <w:sz w:val="18"/>
          <w:u w:val="none"/>
        </w:rPr>
        <w:t xml:space="preserve">Wohnung / Objekt </w:t>
      </w:r>
      <w:r>
        <w:rPr>
          <w:b w:val="0"/>
          <w:sz w:val="18"/>
          <w:u w:val="single"/>
        </w:rPr>
        <w:t xml:space="preserve">                          </w:t>
      </w:r>
      <w:r>
        <w:rPr>
          <w:b w:val="0"/>
          <w:color w:val="555555"/>
          <w:sz w:val="18"/>
          <w:u w:val="none"/>
        </w:rPr>
        <w:t xml:space="preserve">   ·   Abrechnungszeitraum </w:t>
      </w:r>
      <w:r>
        <w:rPr>
          <w:b w:val="0"/>
          <w:sz w:val="18"/>
          <w:u w:val="single"/>
        </w:rPr>
        <w:t xml:space="preserve">            </w:t>
      </w:r>
      <w:r>
        <w:rPr>
          <w:b w:val="0"/>
          <w:color w:val="555555"/>
          <w:sz w:val="18"/>
          <w:u w:val="none"/>
        </w:rPr>
        <w:t xml:space="preserve"> bis </w:t>
      </w:r>
      <w:r>
        <w:rPr>
          <w:b w:val="0"/>
          <w:sz w:val="18"/>
          <w:u w:val="single"/>
        </w:rPr>
        <w:t xml:space="preserve">            </w:t>
      </w:r>
    </w:p>
    <w:p>
      <w:pPr>
        <w:spacing w:after="20"/>
      </w:pPr>
      <w:r>
        <w:rPr>
          <w:b w:val="0"/>
          <w:color w:val="9AA4B2"/>
          <w:sz w:val="13"/>
          <w:u w:val="none"/>
        </w:rPr>
        <w:t>ANSCHREIBEN (OPTIONAL)</w:t>
      </w:r>
    </w:p>
    <w:p>
      <w:pPr>
        <w:spacing w:after="160"/>
        <w:pBdr>
          <w:bottom w:val="single" w:sz="6" w:space="2" w:color="B9C2CF"/>
        </w:pBdr>
      </w:pPr>
    </w:p>
    <w:p>
      <w:pPr>
        <w:spacing w:after="160"/>
        <w:pBdr>
          <w:bottom w:val="single" w:sz="6" w:space="2" w:color="B9C2CF"/>
        </w:pBdr>
      </w:pPr>
    </w:p>
    <w:p>
      <w:pPr>
        <w:spacing w:after="160"/>
        <w:pBdr>
          <w:bottom w:val="single" w:sz="6" w:space="2" w:color="B9C2CF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2438"/>
            <w:tcBorders>
              <w:bottom w:val="single" w:sz="12" w:color="111111" w:space="0"/>
            </w:tcBorders>
          </w:tcPr>
          <w:p>
            <w:pPr>
              <w:jc w:val="left"/>
            </w:pPr>
            <w:r>
              <w:rPr>
                <w:b/>
                <w:color w:val="555555"/>
                <w:sz w:val="15"/>
                <w:u w:val="none"/>
              </w:rPr>
              <w:t>POSITION</w:t>
            </w:r>
          </w:p>
        </w:tc>
        <w:tc>
          <w:tcPr>
            <w:tcW w:type="dxa" w:w="1928"/>
            <w:tcBorders>
              <w:bottom w:val="single" w:sz="12" w:color="111111" w:space="0"/>
            </w:tcBorders>
          </w:tcPr>
          <w:p>
            <w:pPr>
              <w:jc w:val="left"/>
            </w:pPr>
            <w:r>
              <w:rPr>
                <w:b/>
                <w:color w:val="555555"/>
                <w:sz w:val="15"/>
                <w:u w:val="none"/>
              </w:rPr>
              <w:t>SCHLÜSSEL</w:t>
            </w:r>
          </w:p>
        </w:tc>
        <w:tc>
          <w:tcPr>
            <w:tcW w:type="dxa" w:w="1304"/>
            <w:tcBorders>
              <w:bottom w:val="single" w:sz="12" w:color="111111" w:space="0"/>
            </w:tcBorders>
          </w:tcPr>
          <w:p>
            <w:pPr>
              <w:jc w:val="right"/>
            </w:pPr>
            <w:r>
              <w:rPr>
                <w:b/>
                <w:color w:val="555555"/>
                <w:sz w:val="15"/>
                <w:u w:val="none"/>
              </w:rPr>
              <w:t>GESAMT</w:t>
            </w:r>
          </w:p>
        </w:tc>
        <w:tc>
          <w:tcPr>
            <w:tcW w:type="dxa" w:w="1191"/>
            <w:tcBorders>
              <w:bottom w:val="single" w:sz="12" w:color="111111" w:space="0"/>
            </w:tcBorders>
          </w:tcPr>
          <w:p>
            <w:pPr>
              <w:jc w:val="right"/>
            </w:pPr>
            <w:r>
              <w:rPr>
                <w:b/>
                <w:color w:val="555555"/>
                <w:sz w:val="15"/>
                <w:u w:val="none"/>
              </w:rPr>
              <w:t>ANTEIL</w:t>
            </w:r>
          </w:p>
        </w:tc>
        <w:tc>
          <w:tcPr>
            <w:tcW w:type="dxa" w:w="1247"/>
            <w:tcBorders>
              <w:bottom w:val="single" w:sz="12" w:color="111111" w:space="0"/>
            </w:tcBorders>
          </w:tcPr>
          <w:p>
            <w:pPr>
              <w:jc w:val="right"/>
            </w:pPr>
            <w:r>
              <w:rPr>
                <w:b/>
                <w:color w:val="555555"/>
                <w:sz w:val="15"/>
                <w:u w:val="none"/>
              </w:rPr>
              <w:t>GESAMTKOSTEN</w:t>
            </w:r>
          </w:p>
        </w:tc>
        <w:tc>
          <w:tcPr>
            <w:tcW w:type="dxa" w:w="1247"/>
            <w:tcBorders>
              <w:bottom w:val="single" w:sz="12" w:color="111111" w:space="0"/>
            </w:tcBorders>
          </w:tcPr>
          <w:p>
            <w:pPr>
              <w:jc w:val="right"/>
            </w:pPr>
            <w:r>
              <w:rPr>
                <w:b/>
                <w:color w:val="555555"/>
                <w:sz w:val="15"/>
                <w:u w:val="none"/>
              </w:rPr>
              <w:t>KOSTENANTEIL</w:t>
            </w:r>
          </w:p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  <w:tr>
        <w:trPr>
          <w:trHeight w:val="340" w:hRule="atLeast"/>
        </w:trPr>
        <w:tc>
          <w:tcPr>
            <w:tcW w:type="dxa" w:w="2438"/>
            <w:tcBorders>
              <w:bottom w:val="single" w:sz="4" w:color="D9D9D9" w:space="0"/>
            </w:tcBorders>
          </w:tcPr>
          <w:p/>
        </w:tc>
        <w:tc>
          <w:tcPr>
            <w:tcW w:type="dxa" w:w="1928"/>
            <w:tcBorders>
              <w:bottom w:val="single" w:sz="4" w:color="D9D9D9" w:space="0"/>
            </w:tcBorders>
          </w:tcPr>
          <w:p/>
        </w:tc>
        <w:tc>
          <w:tcPr>
            <w:tcW w:type="dxa" w:w="1304"/>
            <w:tcBorders>
              <w:bottom w:val="single" w:sz="4" w:color="D9D9D9" w:space="0"/>
            </w:tcBorders>
          </w:tcPr>
          <w:p/>
        </w:tc>
        <w:tc>
          <w:tcPr>
            <w:tcW w:type="dxa" w:w="1191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  <w:tc>
          <w:tcPr>
            <w:tcW w:type="dxa" w:w="1247"/>
            <w:tcBorders>
              <w:bottom w:val="single" w:sz="4" w:color="D9D9D9" w:space="0"/>
            </w:tcBorders>
          </w:tcPr>
          <w:p/>
        </w:tc>
      </w:tr>
    </w:tbl>
    <w:p/>
    <w:tbl>
      <w:tblPr>
        <w:tblW w:type="auto" w:w="0"/>
        <w:tblLook w:firstColumn="1" w:firstRow="1" w:lastColumn="0" w:lastRow="0" w:noHBand="0" w:noVBand="1" w:val="04A0"/>
        <w:jc w:val="right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677"/>
        <w:gridCol w:w="4677"/>
      </w:tblGrid>
      <w:tr>
        <w:tc>
          <w:tcPr>
            <w:tcW w:type="dxa" w:w="3175"/>
          </w:tcPr>
          <w:p>
            <w:pPr>
              <w:spacing w:after="40"/>
            </w:pPr>
            <w:r>
              <w:rPr>
                <w:b w:val="0"/>
                <w:sz w:val="20"/>
                <w:u w:val="none"/>
              </w:rPr>
              <w:t>Anteil gesamt</w:t>
            </w:r>
          </w:p>
        </w:tc>
        <w:tc>
          <w:tcPr>
            <w:tcW w:type="dxa" w:w="2041"/>
          </w:tcPr>
          <w:p>
            <w:pPr>
              <w:spacing w:after="40"/>
              <w:pBdr>
                <w:bottom w:val="single" w:sz="6" w:space="2" w:color="B9C2CF"/>
              </w:pBdr>
            </w:pPr>
          </w:p>
        </w:tc>
      </w:tr>
      <w:tr>
        <w:tc>
          <w:tcPr>
            <w:tcW w:type="dxa" w:w="3175"/>
          </w:tcPr>
          <w:p>
            <w:pPr>
              <w:spacing w:after="40"/>
            </w:pPr>
            <w:r>
              <w:rPr>
                <w:b w:val="0"/>
                <w:sz w:val="20"/>
                <w:u w:val="none"/>
              </w:rPr>
              <w:t>abzgl. Vorauszahlung</w:t>
            </w:r>
          </w:p>
        </w:tc>
        <w:tc>
          <w:tcPr>
            <w:tcW w:type="dxa" w:w="2041"/>
          </w:tcPr>
          <w:p>
            <w:pPr>
              <w:spacing w:after="40"/>
              <w:pBdr>
                <w:bottom w:val="single" w:sz="6" w:space="2" w:color="B9C2CF"/>
              </w:pBdr>
            </w:pPr>
          </w:p>
        </w:tc>
      </w:tr>
      <w:tr>
        <w:tc>
          <w:tcPr>
            <w:tcW w:type="dxa" w:w="3175"/>
            <w:tcBorders>
              <w:top w:val="single" w:sz="8" w:color="111111" w:space="0"/>
            </w:tcBorders>
          </w:tcPr>
          <w:p>
            <w:pPr>
              <w:spacing w:after="40"/>
            </w:pPr>
            <w:r>
              <w:rPr>
                <w:b/>
                <w:sz w:val="22"/>
                <w:u w:val="none"/>
              </w:rPr>
              <w:t>Nachzahlung / Guthaben</w:t>
            </w:r>
          </w:p>
        </w:tc>
        <w:tc>
          <w:tcPr>
            <w:tcW w:type="dxa" w:w="2041"/>
            <w:tcBorders>
              <w:top w:val="single" w:sz="8" w:color="111111" w:space="0"/>
            </w:tcBorders>
          </w:tcPr>
          <w:p>
            <w:pPr>
              <w:spacing w:after="40"/>
              <w:pBdr>
                <w:bottom w:val="single" w:sz="6" w:space="2" w:color="111111"/>
              </w:pBdr>
            </w:pPr>
          </w:p>
        </w:tc>
      </w:tr>
    </w:tbl>
    <w:p>
      <w:pPr>
        <w:jc w:val="right"/>
      </w:pPr>
      <w:r>
        <w:rPr>
          <w:b w:val="0"/>
          <w:color w:val="9AA4B2"/>
          <w:sz w:val="14"/>
          <w:u w:val="none"/>
        </w:rPr>
        <w:t>Beträge selbst addieren — diese Vorlage rechnet nicht.</w:t>
      </w:r>
    </w:p>
    <w:p/>
    <w:p>
      <w:pPr>
        <w:spacing w:after="40"/>
      </w:pPr>
      <w:r>
        <w:rPr>
          <w:b w:val="0"/>
          <w:color w:val="555555"/>
          <w:sz w:val="15"/>
          <w:u w:val="none"/>
        </w:rPr>
        <w:t>Diese Vorlage rechnet nicht. Sie tragen die Beträge ein und addieren selbst. Die Excel-Fassung mit Formeln und Verteilerschlüssel: nebenkosten.wegora.de/blog/nebenkostenabrechnung-selbst-erstellen</w:t>
      </w:r>
    </w:p>
    <w:p>
      <w:r>
        <w:rPr>
          <w:b w:val="0"/>
          <w:color w:val="555555"/>
          <w:sz w:val="15"/>
          <w:u w:val="none"/>
        </w:rPr>
        <w:t>Die Wegora UG (haftungsbeschränkt) stellt lediglich die Vorlage bereit und haftet nicht für die eingetragenen Inhalte oder die daraus erstellte Abrechnung — keine Rechtsberatung.</w:t>
      </w:r>
    </w:p>
    <w:p>
      <w:r>
        <w:br w:type="page"/>
      </w:r>
    </w:p>
    <w:p>
      <w:pPr>
        <w:spacing w:after="40"/>
      </w:pPr>
      <w:r>
        <w:rPr>
          <w:b/>
          <w:color w:val="1E40AF"/>
          <w:sz w:val="27"/>
          <w:u w:val="none"/>
        </w:rPr>
        <w:t>Was in eine Nebenkostenabrechnung gehört</w:t>
      </w:r>
    </w:p>
    <w:p>
      <w:pPr>
        <w:spacing w:after="200"/>
      </w:pPr>
      <w:r>
        <w:rPr>
          <w:b w:val="0"/>
          <w:color w:val="555555"/>
          <w:sz w:val="18"/>
          <w:u w:val="none"/>
        </w:rPr>
        <w:t>Zum Abhaken, bevor Sie die Abrechnung versenden.</w:t>
      </w:r>
    </w:p>
    <w:p>
      <w:pPr>
        <w:spacing w:before="200" w:after="60"/>
      </w:pPr>
      <w:r>
        <w:rPr>
          <w:b w:val="0"/>
          <w:color w:val="9AA4B2"/>
          <w:sz w:val="13"/>
          <w:u w:val="none"/>
        </w:rPr>
        <w:t>INHALTLICHE MINDESTANGABEN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Zusammenstellung der Gesamtkosten</w:t>
      </w:r>
      <w:r>
        <w:rPr>
          <w:b w:val="0"/>
          <w:sz w:val="18"/>
          <w:u w:val="none"/>
        </w:rPr>
        <w:t xml:space="preserve"> je Kostenart — nicht nur die Summe.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Angabe und Erläuterung des Verteilerschlüssels</w:t>
      </w:r>
      <w:r>
        <w:rPr>
          <w:b w:val="0"/>
          <w:sz w:val="18"/>
          <w:u w:val="none"/>
        </w:rPr>
        <w:t xml:space="preserve"> je Position (Wohnfläche, Personen, Verbrauch, MEA).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Berechnung des Anteils</w:t>
      </w:r>
      <w:r>
        <w:rPr>
          <w:b w:val="0"/>
          <w:sz w:val="18"/>
          <w:u w:val="none"/>
        </w:rPr>
        <w:t xml:space="preserve"> des Mieters — nachvollziehbar, nicht nur das Ergebnis.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Abzug der geleisteten Vorauszahlungen</w:t>
      </w:r>
      <w:r>
        <w:rPr>
          <w:b w:val="0"/>
          <w:sz w:val="18"/>
          <w:u w:val="none"/>
        </w:rPr>
        <w:t>.</w:t>
      </w:r>
    </w:p>
    <w:p>
      <w:pPr>
        <w:spacing w:before="200" w:after="60"/>
      </w:pPr>
      <w:r>
        <w:rPr>
          <w:b w:val="0"/>
          <w:color w:val="9AA4B2"/>
          <w:sz w:val="13"/>
          <w:u w:val="none"/>
        </w:rPr>
        <w:t>FORMALE ANGABEN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Vermieter und Mieter namentlich benannt</w:t>
      </w:r>
      <w:r>
        <w:rPr>
          <w:b w:val="0"/>
          <w:sz w:val="18"/>
          <w:u w:val="none"/>
        </w:rPr>
        <w:t>, Wohnung eindeutig bezeichnet.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Abrechnungszeitraum</w:t>
      </w:r>
      <w:r>
        <w:rPr>
          <w:b w:val="0"/>
          <w:sz w:val="18"/>
          <w:u w:val="none"/>
        </w:rPr>
        <w:t xml:space="preserve"> — höchstens zwölf Monate.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Datum und Unterschrift</w:t>
      </w:r>
      <w:r>
        <w:rPr>
          <w:b w:val="0"/>
          <w:sz w:val="18"/>
          <w:u w:val="none"/>
        </w:rPr>
        <w:t xml:space="preserve"> des Vermieters.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Zugang beim Mieter bis zum 31.12. des Folgejahres</w:t>
      </w:r>
      <w:r>
        <w:rPr>
          <w:b w:val="0"/>
          <w:sz w:val="18"/>
          <w:u w:val="none"/>
        </w:rPr>
        <w:t xml:space="preserve"> (§ 556 Abs. 3 BGB).</w:t>
      </w:r>
    </w:p>
    <w:p>
      <w:pPr>
        <w:spacing w:before="200" w:after="60"/>
      </w:pPr>
      <w:r>
        <w:rPr>
          <w:b w:val="0"/>
          <w:color w:val="9AA4B2"/>
          <w:sz w:val="13"/>
          <w:u w:val="none"/>
        </w:rPr>
        <w:t>HÄUFIGE STOLPERSTELLEN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Nur umlagefähige Kosten aufgenommen</w:t>
      </w:r>
      <w:r>
        <w:rPr>
          <w:b w:val="0"/>
          <w:sz w:val="18"/>
          <w:u w:val="none"/>
        </w:rPr>
        <w:t xml:space="preserve"> (§ 2 BetrKV) — Verwaltung und Instandhaltung gehören nicht dazu (§ 1 Abs. 2 BetrKV).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Heizung und Warmwasser überwiegend nach Verbrauch verteilt</w:t>
      </w:r>
      <w:r>
        <w:rPr>
          <w:b w:val="0"/>
          <w:sz w:val="18"/>
          <w:u w:val="none"/>
        </w:rPr>
        <w:t xml:space="preserve"> (Heizkostenverordnung).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Bei Mieterwechsel im Jahr</w:t>
      </w:r>
      <w:r>
        <w:rPr>
          <w:b w:val="0"/>
          <w:sz w:val="18"/>
          <w:u w:val="none"/>
        </w:rPr>
        <w:t>: Zeitanteile und Zwischenablesung berücksichtigt.</w:t>
      </w:r>
    </w:p>
    <w:p>
      <w:pPr>
        <w:spacing w:after="100"/>
        <w:ind w:left="340"/>
      </w:pPr>
      <w:r>
        <w:rPr>
          <w:b w:val="0"/>
          <w:sz w:val="20"/>
          <w:u w:val="none"/>
        </w:rPr>
        <w:t xml:space="preserve">☐  </w:t>
      </w:r>
      <w:r>
        <w:rPr>
          <w:b/>
          <w:sz w:val="18"/>
          <w:u w:val="none"/>
        </w:rPr>
        <w:t>Bei einer Eigentumswohnung</w:t>
      </w:r>
      <w:r>
        <w:rPr>
          <w:b w:val="0"/>
          <w:sz w:val="18"/>
          <w:u w:val="none"/>
        </w:rPr>
        <w:t>: MEA nur gegenüber dem Mieter verwendet, wenn der Mietvertrag es vorsieht.</w:t>
      </w:r>
    </w:p>
    <w:p/>
    <w:p>
      <w:pPr>
        <w:spacing w:after="40"/>
      </w:pPr>
      <w:r>
        <w:rPr>
          <w:b w:val="0"/>
          <w:color w:val="555555"/>
          <w:sz w:val="15"/>
          <w:u w:val="none"/>
        </w:rPr>
        <w:t>Diese Vorlage rechnet nicht. Sie tragen die Beträge ein und addieren selbst. Die Excel-Fassung mit Formeln und Verteilerschlüssel: nebenkosten.wegora.de/blog/nebenkostenabrechnung-selbst-erstellen</w:t>
      </w:r>
    </w:p>
    <w:p>
      <w:r>
        <w:rPr>
          <w:b w:val="0"/>
          <w:color w:val="555555"/>
          <w:sz w:val="15"/>
          <w:u w:val="none"/>
        </w:rPr>
        <w:t>Die Wegora UG (haftungsbeschränkt) stellt lediglich die Vorlage bereit und haftet nicht für die eingetragenen Inhalte oder die daraus erstellte Abrechnung — keine Rechtsberatung.</w:t>
      </w:r>
    </w:p>
    <w:sectPr w:rsidR="00FC693F" w:rsidRPr="0006063C" w:rsidSect="00034616">
      <w:pgSz w:w="11906" w:h="16838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